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D57" w:rsidRDefault="005F5C4D">
      <w:r>
        <w:t>Лекция 3.</w:t>
      </w:r>
    </w:p>
    <w:p w:rsidR="005F5C4D" w:rsidRDefault="005F5C4D">
      <w:r>
        <w:t>Энтропия, информация, семантика</w:t>
      </w:r>
    </w:p>
    <w:p w:rsidR="005F5C4D" w:rsidRDefault="005F5C4D">
      <w:r>
        <w:t xml:space="preserve">В физическом пространстве  любое взаимодействие характеризуется инвариантом - энергией, для которой сформулированы законы сохранения. </w:t>
      </w:r>
    </w:p>
    <w:p w:rsidR="005F5C4D" w:rsidRDefault="005F5C4D">
      <w:r>
        <w:t>В информационном пространстве модели взаимодействия объектов имеют другую природу, которая  связана с понятием информации  как меры разнообразия рассматриваемых объектов. В этом смысле информация является объективной характеристикой реальности.</w:t>
      </w:r>
    </w:p>
    <w:p w:rsidR="005F5C4D" w:rsidRPr="005F5C4D" w:rsidRDefault="005F5C4D" w:rsidP="005F5C4D">
      <w:pPr>
        <w:pStyle w:val="a3"/>
        <w:numPr>
          <w:ilvl w:val="0"/>
          <w:numId w:val="1"/>
        </w:numPr>
      </w:pPr>
      <w:r>
        <w:t>Что такое мера</w:t>
      </w:r>
      <w:r w:rsidRPr="005F5C4D">
        <w:t xml:space="preserve">? </w:t>
      </w:r>
      <w:r>
        <w:t xml:space="preserve"> Это положительное число. </w:t>
      </w:r>
    </w:p>
    <w:p w:rsidR="005F5C4D" w:rsidRDefault="005F5C4D">
      <w:r>
        <w:t xml:space="preserve">Формально понятие меры в математике связано с  обобщением «длины», площади  или объема. </w:t>
      </w:r>
    </w:p>
    <w:p w:rsidR="005F5C4D" w:rsidRDefault="005F5C4D">
      <w:r>
        <w:t xml:space="preserve">Мера вводится на множестве объектов и является положительным числом, которое сопоставляется этому множеству по некоторым правилам. Если правило такое, что число существует, то множество называется измеримым по отношению к этой мере. </w:t>
      </w:r>
    </w:p>
    <w:p w:rsidR="005F5C4D" w:rsidRDefault="005F5C4D">
      <w:r>
        <w:t xml:space="preserve">Мера </w:t>
      </w:r>
      <w:proofErr w:type="spellStart"/>
      <w:r>
        <w:t>м.б</w:t>
      </w:r>
      <w:proofErr w:type="spellEnd"/>
      <w:r>
        <w:t xml:space="preserve">. НОЛЬ! Множество меры ноль – это точка, поле рациональных числе, а </w:t>
      </w:r>
      <w:proofErr w:type="gramStart"/>
      <w:r>
        <w:t>мера поля вещественных чисел это</w:t>
      </w:r>
      <w:proofErr w:type="gramEnd"/>
      <w:r>
        <w:t xml:space="preserve"> не ноль, а контину</w:t>
      </w:r>
      <w:r w:rsidR="004D4238">
        <w:t>у</w:t>
      </w:r>
      <w:r>
        <w:t xml:space="preserve">м. = С. </w:t>
      </w:r>
    </w:p>
    <w:p w:rsidR="005F5C4D" w:rsidRDefault="005F5C4D"/>
    <w:p w:rsidR="005F5C4D" w:rsidRDefault="005F5C4D">
      <w:r>
        <w:t>Вернемся к информации. Как сформировать меру «разнообразия</w:t>
      </w:r>
      <w:proofErr w:type="gramStart"/>
      <w:r>
        <w:t>»</w:t>
      </w:r>
      <w:r w:rsidRPr="005F5C4D">
        <w:t>?</w:t>
      </w:r>
      <w:r w:rsidR="007C350F">
        <w:t>.</w:t>
      </w:r>
      <w:proofErr w:type="gramEnd"/>
      <w:r w:rsidR="007C350F">
        <w:t xml:space="preserve"> </w:t>
      </w:r>
      <w:r>
        <w:t xml:space="preserve"> Для этого есть несколько возможностей. </w:t>
      </w:r>
    </w:p>
    <w:p w:rsidR="005F5C4D" w:rsidRDefault="005F5C4D">
      <w:r>
        <w:t>Первая – это  сформировать  количественную меру  информации, которая важна для систем связи и передачи информации</w:t>
      </w:r>
    </w:p>
    <w:p w:rsidR="005F5C4D" w:rsidRDefault="005F5C4D">
      <w:r>
        <w:t xml:space="preserve">Вторая – сформировать смысловую меру  информации, которая </w:t>
      </w:r>
      <w:r w:rsidR="007C350F">
        <w:t>связана с «моделью мира».</w:t>
      </w:r>
    </w:p>
    <w:p w:rsidR="007C350F" w:rsidRDefault="007C350F">
      <w:r>
        <w:t xml:space="preserve">Итак,  знания об окружающем мире составляются из </w:t>
      </w:r>
    </w:p>
    <w:p w:rsidR="007C350F" w:rsidRDefault="007C350F">
      <w:r>
        <w:t xml:space="preserve">Тип знания </w:t>
      </w:r>
      <w:r>
        <w:tab/>
      </w:r>
      <w:r>
        <w:tab/>
      </w:r>
      <w:r>
        <w:tab/>
        <w:t xml:space="preserve">Область </w:t>
      </w:r>
    </w:p>
    <w:p w:rsidR="007C350F" w:rsidRDefault="007C350F" w:rsidP="007C350F">
      <w:pPr>
        <w:pStyle w:val="a3"/>
        <w:numPr>
          <w:ilvl w:val="0"/>
          <w:numId w:val="3"/>
        </w:numPr>
      </w:pPr>
      <w:r>
        <w:t>физический мир</w:t>
      </w:r>
    </w:p>
    <w:p w:rsidR="007C350F" w:rsidRDefault="007C350F" w:rsidP="007C350F">
      <w:pPr>
        <w:pStyle w:val="a3"/>
        <w:numPr>
          <w:ilvl w:val="0"/>
          <w:numId w:val="3"/>
        </w:numPr>
      </w:pPr>
      <w:r>
        <w:t xml:space="preserve">мыслимое </w:t>
      </w:r>
    </w:p>
    <w:p w:rsidR="007C350F" w:rsidRDefault="007C350F" w:rsidP="007C350F">
      <w:pPr>
        <w:pStyle w:val="a3"/>
        <w:numPr>
          <w:ilvl w:val="0"/>
          <w:numId w:val="3"/>
        </w:numPr>
      </w:pPr>
      <w:r>
        <w:t>исчислимое</w:t>
      </w:r>
    </w:p>
    <w:p w:rsidR="00313740" w:rsidRPr="009139E3" w:rsidRDefault="00313740" w:rsidP="00313740">
      <w:r>
        <w:rPr>
          <w:lang w:val="en-US"/>
        </w:rPr>
        <w:t>e</w:t>
      </w:r>
      <w:r w:rsidRPr="009139E3">
        <w:t>**(-</w:t>
      </w:r>
      <w:proofErr w:type="spellStart"/>
      <w:r>
        <w:rPr>
          <w:lang w:val="en-US"/>
        </w:rPr>
        <w:t>i</w:t>
      </w:r>
      <w:proofErr w:type="spellEnd"/>
      <w:r w:rsidRPr="009139E3">
        <w:t>*</w:t>
      </w:r>
      <w:proofErr w:type="gramStart"/>
      <w:r>
        <w:rPr>
          <w:lang w:val="en-US"/>
        </w:rPr>
        <w:t>pi</w:t>
      </w:r>
      <w:r w:rsidRPr="009139E3">
        <w:t>)=</w:t>
      </w:r>
      <w:proofErr w:type="gramEnd"/>
      <w:r w:rsidRPr="009139E3">
        <w:t>1.</w:t>
      </w:r>
    </w:p>
    <w:p w:rsidR="009139E3" w:rsidRPr="009139E3" w:rsidRDefault="009139E3" w:rsidP="009139E3">
      <w:r w:rsidRPr="009139E3">
        <w:t xml:space="preserve">Информационная </w:t>
      </w:r>
      <w:r w:rsidRPr="009139E3">
        <w:rPr>
          <w:b/>
          <w:bCs/>
        </w:rPr>
        <w:t>двоичная энтропия</w:t>
      </w:r>
      <w:r w:rsidRPr="009139E3">
        <w:t xml:space="preserve"> для независимых случайных событий </w:t>
      </w:r>
      <w:r w:rsidRPr="009139E3">
        <w:rPr>
          <w:i/>
          <w:iCs/>
        </w:rPr>
        <w:t>x</w:t>
      </w:r>
      <w:r w:rsidRPr="009139E3">
        <w:t xml:space="preserve"> с </w:t>
      </w:r>
      <w:r w:rsidRPr="009139E3">
        <w:rPr>
          <w:i/>
          <w:iCs/>
        </w:rPr>
        <w:t>n</w:t>
      </w:r>
      <w:r w:rsidRPr="009139E3">
        <w:t xml:space="preserve"> возможными состояниями (от 1 до </w:t>
      </w:r>
      <w:r w:rsidRPr="009139E3">
        <w:rPr>
          <w:i/>
          <w:iCs/>
        </w:rPr>
        <w:t>n</w:t>
      </w:r>
      <w:r w:rsidRPr="009139E3">
        <w:t xml:space="preserve">, </w:t>
      </w:r>
      <w:r w:rsidRPr="009139E3">
        <w:rPr>
          <w:i/>
          <w:iCs/>
        </w:rPr>
        <w:t>p</w:t>
      </w:r>
      <w:r w:rsidRPr="009139E3">
        <w:t xml:space="preserve"> - функция вероятности) рассчитывается по формуле:</w:t>
      </w:r>
    </w:p>
    <w:p w:rsidR="009139E3" w:rsidRPr="009139E3" w:rsidRDefault="009139E3" w:rsidP="009139E3">
      <w:r w:rsidRPr="009139E3">
        <w:rPr>
          <w:noProof/>
          <w:lang w:eastAsia="ru-RU"/>
        </w:rPr>
        <w:drawing>
          <wp:inline distT="0" distB="0" distL="0" distR="0">
            <wp:extent cx="2174240" cy="477520"/>
            <wp:effectExtent l="0" t="0" r="0" b="0"/>
            <wp:docPr id="2" name="Рисунок 2" descr="H(x)=-\sum_{i=1}^np(i)\log_2 p(i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(x)=-\sum_{i=1}^np(i)\log_2 p(i)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9E3" w:rsidRPr="009139E3" w:rsidRDefault="009139E3" w:rsidP="009139E3">
      <w:r w:rsidRPr="009139E3">
        <w:t xml:space="preserve">Эта величина также называется </w:t>
      </w:r>
      <w:r w:rsidRPr="009139E3">
        <w:rPr>
          <w:i/>
          <w:iCs/>
        </w:rPr>
        <w:t>средней энтропией сообщения</w:t>
      </w:r>
      <w:r w:rsidRPr="009139E3">
        <w:t xml:space="preserve">. Величина </w:t>
      </w:r>
      <w:r w:rsidRPr="009139E3">
        <w:rPr>
          <w:noProof/>
          <w:lang w:eastAsia="ru-RU"/>
        </w:rPr>
        <w:drawing>
          <wp:inline distT="0" distB="0" distL="0" distR="0">
            <wp:extent cx="665480" cy="436880"/>
            <wp:effectExtent l="0" t="0" r="1270" b="1270"/>
            <wp:docPr id="1" name="Рисунок 1" descr="\log_2\frac{1}{p(i)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log_2\frac{1}{p(i)}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43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E3">
        <w:t xml:space="preserve">называется </w:t>
      </w:r>
      <w:r w:rsidRPr="009139E3">
        <w:rPr>
          <w:i/>
          <w:iCs/>
        </w:rPr>
        <w:t>частной энтропией</w:t>
      </w:r>
      <w:r w:rsidRPr="009139E3">
        <w:t xml:space="preserve">, характеризующей только </w:t>
      </w:r>
      <w:r w:rsidRPr="009139E3">
        <w:rPr>
          <w:i/>
          <w:iCs/>
        </w:rPr>
        <w:t>i</w:t>
      </w:r>
      <w:r w:rsidRPr="009139E3">
        <w:t>-e состояние.</w:t>
      </w:r>
    </w:p>
    <w:p w:rsidR="009139E3" w:rsidRPr="009139E3" w:rsidRDefault="009139E3" w:rsidP="009139E3">
      <w:r w:rsidRPr="009139E3">
        <w:lastRenderedPageBreak/>
        <w:t xml:space="preserve">Таким образом, энтропия события </w:t>
      </w:r>
      <w:r w:rsidRPr="009139E3">
        <w:rPr>
          <w:i/>
          <w:iCs/>
        </w:rPr>
        <w:t>x</w:t>
      </w:r>
      <w:r w:rsidRPr="009139E3">
        <w:t xml:space="preserve"> является суммой с противоположным знаком всех произведений относительных частот появления события </w:t>
      </w:r>
      <w:r w:rsidRPr="009139E3">
        <w:rPr>
          <w:i/>
          <w:iCs/>
        </w:rPr>
        <w:t>i</w:t>
      </w:r>
      <w:r w:rsidRPr="009139E3">
        <w:t>, умноже</w:t>
      </w:r>
      <w:r w:rsidR="0037668D">
        <w:t>нных на их же двоичные логарифм.</w:t>
      </w:r>
      <w:r w:rsidR="0037668D" w:rsidRPr="0037668D">
        <w:t xml:space="preserve"> </w:t>
      </w:r>
      <w:r w:rsidRPr="009139E3">
        <w:t xml:space="preserve"> Это определение для дискретных случайных событий можно расширить для функции распределения </w:t>
      </w:r>
      <w:hyperlink r:id="rId7" w:tooltip="Вероятность" w:history="1">
        <w:r w:rsidRPr="009139E3">
          <w:rPr>
            <w:rStyle w:val="a4"/>
          </w:rPr>
          <w:t>вероятностей</w:t>
        </w:r>
      </w:hyperlink>
      <w:r w:rsidRPr="009139E3">
        <w:t>.</w:t>
      </w:r>
    </w:p>
    <w:p w:rsidR="00313740" w:rsidRDefault="0037668D" w:rsidP="00313740">
      <w:r>
        <w:t xml:space="preserve">Итак, </w:t>
      </w:r>
      <w:r w:rsidRPr="0037668D">
        <w:t>прирост информации равен утраченной неопределённости</w:t>
      </w:r>
      <w:r>
        <w:t>.</w:t>
      </w:r>
    </w:p>
    <w:p w:rsidR="0037668D" w:rsidRDefault="0037668D" w:rsidP="00313740">
      <w:r>
        <w:t>М</w:t>
      </w:r>
      <w:r w:rsidRPr="0037668D">
        <w:t xml:space="preserve">ера </w:t>
      </w:r>
      <w:r>
        <w:t xml:space="preserve">информации </w:t>
      </w:r>
      <w:r w:rsidRPr="0037668D">
        <w:t>непрерывн</w:t>
      </w:r>
      <w:r>
        <w:t>а</w:t>
      </w:r>
      <w:r w:rsidRPr="0037668D">
        <w:t>; то есть изменение значения величины вероятности на малую величину должно вызывать малое результирующее изменение функции;</w:t>
      </w:r>
    </w:p>
    <w:p w:rsidR="0054769A" w:rsidRDefault="0054769A" w:rsidP="00313740"/>
    <w:p w:rsidR="0054769A" w:rsidRPr="0054769A" w:rsidRDefault="0054769A" w:rsidP="0054769A">
      <w:r w:rsidRPr="0054769A">
        <w:t xml:space="preserve">  Для целых положительных </w:t>
      </w:r>
      <w:r w:rsidRPr="0054769A">
        <w:rPr>
          <w:i/>
          <w:iCs/>
        </w:rPr>
        <w:t>n</w:t>
      </w:r>
      <w:r w:rsidRPr="0054769A">
        <w:t>, выполня</w:t>
      </w:r>
      <w:r>
        <w:t>е</w:t>
      </w:r>
      <w:r w:rsidRPr="0054769A">
        <w:t xml:space="preserve">тся следующее неравенство: </w:t>
      </w:r>
    </w:p>
    <w:p w:rsidR="0054769A" w:rsidRDefault="0054769A" w:rsidP="0054769A">
      <w:r w:rsidRPr="0054769A">
        <w:rPr>
          <w:noProof/>
          <w:lang w:eastAsia="ru-RU"/>
        </w:rPr>
        <w:drawing>
          <wp:inline distT="0" distB="0" distL="0" distR="0">
            <wp:extent cx="3469640" cy="640080"/>
            <wp:effectExtent l="0" t="0" r="0" b="7620"/>
            <wp:docPr id="3" name="Рисунок 3" descr="H\underbrace{\left(\frac{1}{n},\;\ldots,\;\frac{1}{n}\right)}_n&lt;H\underbrace{\left(\frac{1}{n+1},\;\ldots,\;\frac{1}{n+1}\right)}_{n+1}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\underbrace{\left(\frac{1}{n},\;\ldots,\;\frac{1}{n}\right)}_n&lt;H\underbrace{\left(\frac{1}{n+1},\;\ldots,\;\frac{1}{n+1}\right)}_{n+1}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6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7CA" w:rsidRDefault="002B37CA" w:rsidP="0054769A"/>
    <w:p w:rsidR="002B37CA" w:rsidRDefault="002B37CA" w:rsidP="0054769A">
      <w:r w:rsidRPr="002B37CA">
        <w:t xml:space="preserve">энтропия является разницей между информацией, содержащейся в сообщении, и той частью информации, которая точно известна (хорошо предсказуема) в сообщении. Примером этого является </w:t>
      </w:r>
      <w:hyperlink r:id="rId9" w:tooltip="Избыточность языка" w:history="1">
        <w:r w:rsidRPr="002B37CA">
          <w:rPr>
            <w:rStyle w:val="a4"/>
          </w:rPr>
          <w:t>избыточность языка</w:t>
        </w:r>
      </w:hyperlink>
      <w:r w:rsidRPr="002B37CA">
        <w:t> — имеются явные статистические закономерности в появлении букв, пар последовательных букв, троек и т. </w:t>
      </w:r>
    </w:p>
    <w:p w:rsidR="00E16E55" w:rsidRDefault="00E16E55" w:rsidP="0054769A"/>
    <w:p w:rsidR="00E16E55" w:rsidRDefault="00E16E55" w:rsidP="0054769A">
      <w:r>
        <w:t xml:space="preserve">Все это справедливо в контексте </w:t>
      </w:r>
      <w:r w:rsidRPr="00E16E55">
        <w:t xml:space="preserve">вероятностной модели для </w:t>
      </w:r>
      <w:hyperlink r:id="rId10" w:tooltip="Источник данных (страница отсутствует)" w:history="1">
        <w:r w:rsidRPr="00E16E55">
          <w:rPr>
            <w:rStyle w:val="a4"/>
          </w:rPr>
          <w:t>источника данных</w:t>
        </w:r>
      </w:hyperlink>
      <w:r>
        <w:t>.</w:t>
      </w:r>
    </w:p>
    <w:p w:rsidR="00E16E55" w:rsidRPr="00E16E55" w:rsidRDefault="00E16E55" w:rsidP="00E16E55">
      <w:r w:rsidRPr="00E16E55">
        <w:t xml:space="preserve">  Если </w:t>
      </w:r>
      <w:r w:rsidRPr="00E16E55">
        <w:rPr>
          <w:noProof/>
          <w:lang w:eastAsia="ru-RU"/>
        </w:rPr>
        <w:drawing>
          <wp:inline distT="0" distB="0" distL="0" distR="0">
            <wp:extent cx="436880" cy="172720"/>
            <wp:effectExtent l="0" t="0" r="1270" b="0"/>
            <wp:docPr id="6" name="Рисунок 6" descr="X,\;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X,\;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E55">
        <w:t xml:space="preserve">независимы, то </w:t>
      </w:r>
      <w:r w:rsidRPr="00E16E55">
        <w:rPr>
          <w:noProof/>
          <w:lang w:eastAsia="ru-RU"/>
        </w:rPr>
        <w:drawing>
          <wp:inline distT="0" distB="0" distL="0" distR="0">
            <wp:extent cx="2179320" cy="198120"/>
            <wp:effectExtent l="0" t="0" r="0" b="0"/>
            <wp:docPr id="5" name="Рисунок 5" descr="H(X\cdot Y)=H(X)+H(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(X\cdot Y)=H(X)+H(Y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E55">
        <w:t xml:space="preserve">. </w:t>
      </w:r>
    </w:p>
    <w:p w:rsidR="00E16E55" w:rsidRPr="00E16E55" w:rsidRDefault="00E16E55" w:rsidP="00E16E55">
      <w:r w:rsidRPr="00E16E55">
        <w:t xml:space="preserve">  Энтропия — выпуклая вверх функция распределения вероятностей элементов. </w:t>
      </w:r>
    </w:p>
    <w:p w:rsidR="00E16E55" w:rsidRDefault="00E16E55" w:rsidP="00E16E55">
      <w:r w:rsidRPr="00E16E55">
        <w:t xml:space="preserve">  Если </w:t>
      </w:r>
      <w:r w:rsidRPr="00E16E55">
        <w:rPr>
          <w:noProof/>
          <w:lang w:eastAsia="ru-RU"/>
        </w:rPr>
        <w:drawing>
          <wp:inline distT="0" distB="0" distL="0" distR="0">
            <wp:extent cx="436880" cy="172720"/>
            <wp:effectExtent l="0" t="0" r="1270" b="0"/>
            <wp:docPr id="4" name="Рисунок 4" descr="X,\;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,\;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E55">
        <w:t xml:space="preserve">имеют одинаковое распределение вероятностей элементов, то </w:t>
      </w:r>
      <w:r w:rsidRPr="00E16E55">
        <w:rPr>
          <w:i/>
          <w:iCs/>
        </w:rPr>
        <w:t>H</w:t>
      </w:r>
      <w:r w:rsidRPr="00E16E55">
        <w:t>(</w:t>
      </w:r>
      <w:r w:rsidRPr="00E16E55">
        <w:rPr>
          <w:i/>
          <w:iCs/>
        </w:rPr>
        <w:t>X</w:t>
      </w:r>
      <w:r w:rsidRPr="00E16E55">
        <w:t xml:space="preserve">) = </w:t>
      </w:r>
      <w:r w:rsidRPr="00E16E55">
        <w:rPr>
          <w:i/>
          <w:iCs/>
        </w:rPr>
        <w:t>H</w:t>
      </w:r>
      <w:r w:rsidRPr="00E16E55">
        <w:t>(</w:t>
      </w:r>
      <w:r w:rsidRPr="00E16E55">
        <w:rPr>
          <w:i/>
          <w:iCs/>
        </w:rPr>
        <w:t>Y</w:t>
      </w:r>
      <w:r w:rsidRPr="00E16E55">
        <w:t>).</w:t>
      </w:r>
    </w:p>
    <w:p w:rsidR="00E16E55" w:rsidRDefault="00E16E55" w:rsidP="00E16E55">
      <w:r>
        <w:t xml:space="preserve">Учет корреляции данных происходит с использованием </w:t>
      </w:r>
      <w:r w:rsidRPr="00E16E55">
        <w:t>условн</w:t>
      </w:r>
      <w:r>
        <w:t>ой энтропии.</w:t>
      </w:r>
    </w:p>
    <w:p w:rsidR="00E16E55" w:rsidRPr="00E16E55" w:rsidRDefault="00E16E55" w:rsidP="00E16E55">
      <w:r w:rsidRPr="00E16E55">
        <w:t>Единица измерения — бит/два символа, это объясняется тем, что взаимная энтропия описывает неопределённость на пару символов: отправленного и полученного. Путём несложных преобразований также получаем</w:t>
      </w:r>
    </w:p>
    <w:p w:rsidR="00E16E55" w:rsidRPr="00E16E55" w:rsidRDefault="00E16E55" w:rsidP="00E16E55">
      <w:bookmarkStart w:id="0" w:name="_GoBack"/>
      <w:r w:rsidRPr="00E16E55">
        <w:rPr>
          <w:noProof/>
          <w:lang w:eastAsia="ru-RU"/>
        </w:rPr>
        <w:drawing>
          <wp:inline distT="0" distB="0" distL="0" distR="0">
            <wp:extent cx="4038600" cy="198120"/>
            <wp:effectExtent l="0" t="0" r="0" b="0"/>
            <wp:docPr id="7" name="Рисунок 7" descr="H(AB)=H(A)+H(B\mid A)=H(B)+H(A\mid B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(AB)=H(A)+H(B\mid A)=H(B)+H(A\mid B)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16E55" w:rsidRPr="00E16E55" w:rsidRDefault="00E16E55" w:rsidP="00E16E55">
      <w:r w:rsidRPr="00E16E55">
        <w:t xml:space="preserve">Взаимная энтропия обладает свойством </w:t>
      </w:r>
      <w:r w:rsidRPr="00E16E55">
        <w:rPr>
          <w:i/>
          <w:iCs/>
        </w:rPr>
        <w:t>информационной полноты</w:t>
      </w:r>
      <w:r w:rsidRPr="00E16E55">
        <w:t> — из неё можно получить все рассматриваемые величины.</w:t>
      </w:r>
    </w:p>
    <w:p w:rsidR="00E16E55" w:rsidRDefault="00276D29" w:rsidP="00E16E55">
      <w:r w:rsidRPr="00276D29">
        <w:t>СЕМАНТИЧЕСКИЙ АСПЕКТ ИНФОРМАЦИИ [</w:t>
      </w:r>
      <w:proofErr w:type="spellStart"/>
      <w:r w:rsidRPr="00276D29">
        <w:t>semantic</w:t>
      </w:r>
      <w:proofErr w:type="spellEnd"/>
      <w:r w:rsidRPr="00276D29">
        <w:t xml:space="preserve"> </w:t>
      </w:r>
      <w:proofErr w:type="spellStart"/>
      <w:r w:rsidRPr="00276D29">
        <w:t>aspect</w:t>
      </w:r>
      <w:proofErr w:type="spellEnd"/>
      <w:r w:rsidRPr="00276D29">
        <w:t xml:space="preserve"> </w:t>
      </w:r>
      <w:proofErr w:type="spellStart"/>
      <w:r w:rsidRPr="00276D29">
        <w:t>of</w:t>
      </w:r>
      <w:proofErr w:type="spellEnd"/>
      <w:r w:rsidRPr="00276D29">
        <w:t xml:space="preserve"> </w:t>
      </w:r>
      <w:proofErr w:type="spellStart"/>
      <w:r w:rsidRPr="00276D29">
        <w:t>information</w:t>
      </w:r>
      <w:proofErr w:type="spellEnd"/>
      <w:r w:rsidRPr="00276D29">
        <w:t>] — характеристика информации с точки зрения ее смысла, содержания. Для восприятия информации необходимо, чтобы передаваемые сообщения в определенной мере соответствовали тезаурусу знаний получателя: если они не имеют точек соприкосновения с ним, сообщение понято не будет (так, человек, не знающий математики, не поймет математическую формулу)</w:t>
      </w:r>
      <w:r>
        <w:t>.</w:t>
      </w:r>
    </w:p>
    <w:p w:rsidR="00276D29" w:rsidRDefault="000B6BE8" w:rsidP="00E16E55">
      <w:proofErr w:type="spellStart"/>
      <w:r w:rsidRPr="000B6BE8">
        <w:rPr>
          <w:b/>
          <w:bCs/>
        </w:rPr>
        <w:lastRenderedPageBreak/>
        <w:t>Сема́нтика</w:t>
      </w:r>
      <w:proofErr w:type="spellEnd"/>
      <w:r w:rsidRPr="000B6BE8">
        <w:t xml:space="preserve"> (от </w:t>
      </w:r>
      <w:hyperlink r:id="rId14" w:tooltip="Древнегреческий язык" w:history="1">
        <w:r w:rsidRPr="000B6BE8">
          <w:rPr>
            <w:rStyle w:val="a4"/>
          </w:rPr>
          <w:t>др.-греч.</w:t>
        </w:r>
      </w:hyperlink>
      <w:r w:rsidRPr="000B6BE8">
        <w:t xml:space="preserve"> </w:t>
      </w:r>
      <w:proofErr w:type="spellStart"/>
      <w:r w:rsidRPr="000B6BE8">
        <w:t>σημ</w:t>
      </w:r>
      <w:proofErr w:type="spellEnd"/>
      <w:r w:rsidRPr="000B6BE8">
        <w:t xml:space="preserve">αντικός — обозначающий) — раздел </w:t>
      </w:r>
      <w:hyperlink r:id="rId15" w:tooltip="Лингвистика" w:history="1">
        <w:r w:rsidRPr="000B6BE8">
          <w:rPr>
            <w:rStyle w:val="a4"/>
          </w:rPr>
          <w:t>языкознания</w:t>
        </w:r>
      </w:hyperlink>
      <w:r w:rsidRPr="000B6BE8">
        <w:t xml:space="preserve">, изучающий </w:t>
      </w:r>
      <w:hyperlink r:id="rId16" w:tooltip="Значение" w:history="1">
        <w:r w:rsidRPr="000B6BE8">
          <w:rPr>
            <w:rStyle w:val="a4"/>
          </w:rPr>
          <w:t>значение</w:t>
        </w:r>
      </w:hyperlink>
      <w:r w:rsidRPr="000B6BE8">
        <w:t xml:space="preserve"> </w:t>
      </w:r>
      <w:hyperlink r:id="rId17" w:tooltip="Единицы языка" w:history="1">
        <w:r w:rsidRPr="000B6BE8">
          <w:rPr>
            <w:rStyle w:val="a4"/>
          </w:rPr>
          <w:t>единиц языка</w:t>
        </w:r>
      </w:hyperlink>
      <w:r>
        <w:t>.</w:t>
      </w:r>
    </w:p>
    <w:p w:rsidR="000B6BE8" w:rsidRDefault="000B6BE8" w:rsidP="00E16E55">
      <w:r w:rsidRPr="000B6BE8">
        <w:rPr>
          <w:b/>
          <w:bCs/>
        </w:rPr>
        <w:t xml:space="preserve">СЕМАНТИКА, </w:t>
      </w:r>
      <w:r w:rsidRPr="000B6BE8">
        <w:t>в широком смысле слова –</w:t>
      </w:r>
      <w:r>
        <w:t>отношение</w:t>
      </w:r>
      <w:r w:rsidRPr="000B6BE8">
        <w:t xml:space="preserve"> между языковыми выражениями и миром, реальным или воображаемым</w:t>
      </w:r>
      <w:r w:rsidR="006973BF">
        <w:t>.</w:t>
      </w:r>
    </w:p>
    <w:p w:rsidR="006973BF" w:rsidRDefault="006973BF" w:rsidP="00E16E55">
      <w:r w:rsidRPr="006973BF">
        <w:t>каким образом человек, зная слова и грамматические правила какого-либо естественного языка, оказывается способным передать с их помощью самую разнообразную информацию о мире (в том числе и о собственном внутреннем мире),</w:t>
      </w:r>
    </w:p>
    <w:p w:rsidR="006973BF" w:rsidRDefault="006973BF" w:rsidP="00E16E55">
      <w:r>
        <w:t xml:space="preserve">Как понять, </w:t>
      </w:r>
      <w:r w:rsidRPr="006973BF">
        <w:t xml:space="preserve"> какую информацию о мире заключает в себе любое обращенное к </w:t>
      </w:r>
      <w:r>
        <w:t>человеку</w:t>
      </w:r>
      <w:r w:rsidRPr="006973BF">
        <w:t xml:space="preserve"> высказывание, даже если </w:t>
      </w:r>
      <w:r>
        <w:t>человек</w:t>
      </w:r>
      <w:r w:rsidRPr="006973BF">
        <w:t xml:space="preserve"> впервые слышит его.</w:t>
      </w:r>
    </w:p>
    <w:p w:rsidR="00CA0220" w:rsidRDefault="00CA0220" w:rsidP="00E16E55"/>
    <w:p w:rsidR="00CA0220" w:rsidRDefault="00CA0220" w:rsidP="00E16E55">
      <w:r w:rsidRPr="00CA0220">
        <w:t xml:space="preserve">Та сущность в мире, к которой относится слово, называется его референтом. Так, если я, описывая кому-то произошедшее событие, говорю: </w:t>
      </w:r>
      <w:r w:rsidRPr="00CA0220">
        <w:rPr>
          <w:i/>
          <w:iCs/>
        </w:rPr>
        <w:t>Вчера я посадил под своим окном дерево</w:t>
      </w:r>
      <w:r w:rsidRPr="00CA0220">
        <w:t xml:space="preserve">, то слово </w:t>
      </w:r>
      <w:r w:rsidRPr="00CA0220">
        <w:rPr>
          <w:i/>
          <w:iCs/>
        </w:rPr>
        <w:t xml:space="preserve">дерево </w:t>
      </w:r>
      <w:r w:rsidRPr="00CA0220">
        <w:t>отсылает к единичной индивидуальной сущности – тому самому единственному в своем роде дереву, которое я вчера посадил под своим окном.</w:t>
      </w:r>
    </w:p>
    <w:p w:rsidR="00CA0220" w:rsidRDefault="00CA0220" w:rsidP="00E16E55">
      <w:r>
        <w:t xml:space="preserve">Существует </w:t>
      </w:r>
      <w:r w:rsidRPr="00CA0220">
        <w:t>множество сущностей, которые могут быть обозначены с помощью данного слова</w:t>
      </w:r>
    </w:p>
    <w:p w:rsidR="00CA0220" w:rsidRDefault="00CA0220" w:rsidP="00E16E55">
      <w:r w:rsidRPr="00CA0220">
        <w:t>Вещи, достаточно сходные друг с другом, мы называем одним и тем же именем. Деревья отличаются друг от друга размерами, очертаниями, распределением листвы, но они обладают некоторыми сходными чертами, позволяющими называть их все деревьями.</w:t>
      </w:r>
    </w:p>
    <w:p w:rsidR="00CA0220" w:rsidRDefault="00CA0220" w:rsidP="00E16E55">
      <w:r w:rsidRPr="00CA0220">
        <w:t>необходимым различать языковое значение слова и связанное с этим словом мыслительное содержание – понятие. И языковое значение, и понятие являются категориями мышления. То и другое суть отражения мира в нашем сознании. Но это разные виды отражения.</w:t>
      </w:r>
    </w:p>
    <w:p w:rsidR="00CA0220" w:rsidRDefault="00CA0220" w:rsidP="00E16E55">
      <w:r w:rsidRPr="00CA0220">
        <w:t xml:space="preserve">Многие слова (возможно, даже большинство слов) используются в более чем одном смысле. </w:t>
      </w:r>
      <w:proofErr w:type="spellStart"/>
      <w:r w:rsidRPr="00CA0220">
        <w:t>Cлово</w:t>
      </w:r>
      <w:proofErr w:type="spellEnd"/>
      <w:r w:rsidRPr="00CA0220">
        <w:t xml:space="preserve"> </w:t>
      </w:r>
      <w:r w:rsidRPr="00CA0220">
        <w:rPr>
          <w:i/>
          <w:iCs/>
        </w:rPr>
        <w:t>лук</w:t>
      </w:r>
      <w:r w:rsidRPr="00CA0220">
        <w:t xml:space="preserve"> может применяться как для обозначения огородного растения со съедобной луковицей и съедобными трубчатыми листьями, так и для обозначения старинного оружия для метания стрел.</w:t>
      </w:r>
    </w:p>
    <w:p w:rsidR="00CA0220" w:rsidRPr="0054769A" w:rsidRDefault="009A1FC8" w:rsidP="00E16E55">
      <w:r>
        <w:t xml:space="preserve">                                                                                                                                                              </w:t>
      </w:r>
    </w:p>
    <w:sectPr w:rsidR="00CA0220" w:rsidRPr="00547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854751"/>
    <w:multiLevelType w:val="hybridMultilevel"/>
    <w:tmpl w:val="6312278E"/>
    <w:lvl w:ilvl="0" w:tplc="944A79C8">
      <w:start w:val="1"/>
      <w:numFmt w:val="decimal"/>
      <w:lvlText w:val="%1"/>
      <w:lvlJc w:val="left"/>
      <w:pPr>
        <w:ind w:left="2490" w:hanging="21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565B5"/>
    <w:multiLevelType w:val="hybridMultilevel"/>
    <w:tmpl w:val="42C6F74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8C62FE1"/>
    <w:multiLevelType w:val="hybridMultilevel"/>
    <w:tmpl w:val="D8921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E4F"/>
    <w:rsid w:val="000B6862"/>
    <w:rsid w:val="000B6BE8"/>
    <w:rsid w:val="00265E4F"/>
    <w:rsid w:val="00276D29"/>
    <w:rsid w:val="002B37CA"/>
    <w:rsid w:val="00313740"/>
    <w:rsid w:val="0037668D"/>
    <w:rsid w:val="004D4238"/>
    <w:rsid w:val="0054769A"/>
    <w:rsid w:val="005F5C4D"/>
    <w:rsid w:val="006973BF"/>
    <w:rsid w:val="007C350F"/>
    <w:rsid w:val="00822D57"/>
    <w:rsid w:val="009139E3"/>
    <w:rsid w:val="009A1FC8"/>
    <w:rsid w:val="00CA0220"/>
    <w:rsid w:val="00DE7694"/>
    <w:rsid w:val="00E1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5BDB"/>
  <w15:docId w15:val="{5A8919CB-7742-48EA-93F4-830B78A7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C4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139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8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2%D0%B5%D1%80%D0%BE%D1%8F%D1%82%D0%BD%D0%BE%D1%81%D1%82%D1%8C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://ru.wikipedia.org/wiki/%D0%95%D0%B4%D0%B8%D0%BD%D0%B8%D1%86%D1%8B_%D1%8F%D0%B7%D1%8B%D0%BA%D0%B0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7%D0%BD%D0%B0%D1%87%D0%B5%D0%BD%D0%B8%D0%B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hyperlink" Target="http://ru.wikipedia.org/wiki/%D0%9B%D0%B8%D0%BD%D0%B3%D0%B2%D0%B8%D1%81%D1%82%D0%B8%D0%BA%D0%B0" TargetMode="External"/><Relationship Id="rId10" Type="http://schemas.openxmlformats.org/officeDocument/2006/relationships/hyperlink" Target="http://ru.wikipedia.org/w/index.php?title=%D0%98%D1%81%D1%82%D0%BE%D1%87%D0%BD%D0%B8%D0%BA_%D0%B4%D0%B0%D0%BD%D0%BD%D1%8B%D1%85&amp;action=edit&amp;redlink=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8%D0%B7%D0%B1%D1%8B%D1%82%D0%BE%D1%87%D0%BD%D0%BE%D1%81%D1%82%D1%8C_%D1%8F%D0%B7%D1%8B%D0%BA%D0%B0" TargetMode="External"/><Relationship Id="rId14" Type="http://schemas.openxmlformats.org/officeDocument/2006/relationships/hyperlink" Target="http://ru.wikipedia.org/wiki/%D0%94%D1%80%D0%B5%D0%B2%D0%BD%D0%B5%D0%B3%D1%80%D0%B5%D1%87%D0%B5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"НПО РТК"</Company>
  <LinksUpToDate>false</LinksUpToDate>
  <CharactersWithSpaces>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Заборовский</dc:creator>
  <cp:lastModifiedBy>Заборовский Владимир Сергеевич</cp:lastModifiedBy>
  <cp:revision>3</cp:revision>
  <cp:lastPrinted>2011-09-21T09:20:00Z</cp:lastPrinted>
  <dcterms:created xsi:type="dcterms:W3CDTF">2011-09-21T12:04:00Z</dcterms:created>
  <dcterms:modified xsi:type="dcterms:W3CDTF">2021-11-18T13:52:00Z</dcterms:modified>
</cp:coreProperties>
</file>